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重庆市綦江区永城镇人民政府2020年度</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部门决算情况说明</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黑体_GBK" w:hAnsi="方正黑体_GBK" w:eastAsia="方正黑体_GBK" w:cs="方正黑体_GBK"/>
          <w:b w:val="0"/>
          <w:bCs w:val="0"/>
          <w:sz w:val="32"/>
          <w:szCs w:val="32"/>
        </w:rPr>
      </w:pPr>
      <w:r>
        <w:rPr>
          <w:rStyle w:val="7"/>
          <w:rFonts w:hint="eastAsia" w:ascii="方正黑体_GBK" w:hAnsi="方正黑体_GBK" w:eastAsia="方正黑体_GBK" w:cs="方正黑体_GBK"/>
          <w:b w:val="0"/>
          <w:bCs w:val="0"/>
          <w:sz w:val="32"/>
          <w:szCs w:val="32"/>
        </w:rPr>
        <w:t>一、</w:t>
      </w:r>
      <w:r>
        <w:rPr>
          <w:rStyle w:val="7"/>
          <w:rFonts w:hint="eastAsia" w:ascii="方正黑体_GBK" w:hAnsi="方正黑体_GBK" w:eastAsia="方正黑体_GBK" w:cs="方正黑体_GBK"/>
          <w:b w:val="0"/>
          <w:bCs w:val="0"/>
          <w:sz w:val="32"/>
          <w:szCs w:val="32"/>
          <w:lang w:eastAsia="zh-CN"/>
        </w:rPr>
        <w:t>单位</w:t>
      </w:r>
      <w:r>
        <w:rPr>
          <w:rStyle w:val="7"/>
          <w:rFonts w:hint="eastAsia" w:ascii="方正黑体_GBK" w:hAnsi="方正黑体_GBK" w:eastAsia="方正黑体_GBK" w:cs="方正黑体_GBK"/>
          <w:b w:val="0"/>
          <w:bCs w:val="0"/>
          <w:sz w:val="32"/>
          <w:szCs w:val="32"/>
        </w:rPr>
        <w:t>基本情况</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 xml:space="preserve">  </w:t>
      </w:r>
      <w:r>
        <w:rPr>
          <w:rStyle w:val="7"/>
          <w:rFonts w:hint="eastAsia" w:ascii="方正楷体_GBK" w:hAnsi="方正楷体_GBK" w:eastAsia="方正楷体_GBK" w:cs="方正楷体_GBK"/>
          <w:b w:val="0"/>
          <w:bCs w:val="0"/>
          <w:sz w:val="32"/>
          <w:szCs w:val="32"/>
        </w:rPr>
        <w:t>（一）职能职责</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严格依法行政，发挥经济管理职能，落实国家政策，加强政策引导，制定发展规划，积极组织税收，发展镇村经济、文化和社会事业，服务市场主体和营造发展环境，搞好市场监管、安全生产综合监管、应急管理等各项工作，大力促进社会事业发展，做好农业、林业、水利、畜牧兽医等工作，承担劳动就业、社会保障、困难帮扶等工作，提供公共服务，维护社会稳定，构建社会主义和谐社会。</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 xml:space="preserve">  </w:t>
      </w:r>
      <w:r>
        <w:rPr>
          <w:rStyle w:val="7"/>
          <w:rFonts w:hint="eastAsia" w:ascii="方正楷体_GBK" w:hAnsi="方正楷体_GBK" w:eastAsia="方正楷体_GBK" w:cs="方正楷体_GBK"/>
          <w:b w:val="0"/>
          <w:bCs w:val="0"/>
          <w:sz w:val="32"/>
          <w:szCs w:val="32"/>
        </w:rPr>
        <w:t>（二）机构设置</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FF0000"/>
          <w:sz w:val="32"/>
          <w:szCs w:val="32"/>
        </w:rPr>
        <w:t> </w:t>
      </w:r>
      <w:r>
        <w:rPr>
          <w:rFonts w:hint="eastAsia" w:ascii="方正仿宋_GBK" w:hAnsi="方正仿宋_GBK" w:eastAsia="方正仿宋_GBK" w:cs="方正仿宋_GBK"/>
          <w:sz w:val="32"/>
          <w:szCs w:val="32"/>
        </w:rPr>
        <w:t>本单位独立编制机构数共8个，其中行政单位1个，事业单位7个。</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t xml:space="preserve">  </w:t>
      </w:r>
      <w:r>
        <w:rPr>
          <w:rStyle w:val="7"/>
          <w:rFonts w:hint="eastAsia" w:ascii="方正楷体_GBK" w:hAnsi="方正楷体_GBK" w:eastAsia="方正楷体_GBK" w:cs="方正楷体_GBK"/>
          <w:b w:val="0"/>
          <w:bCs w:val="0"/>
          <w:sz w:val="32"/>
          <w:szCs w:val="32"/>
        </w:rPr>
        <w:t>（三）单位构成</w:t>
      </w:r>
    </w:p>
    <w:p>
      <w:pPr>
        <w:keepNext w:val="0"/>
        <w:keepLines w:val="0"/>
        <w:pageBreakBefore w:val="0"/>
        <w:widowControl w:val="0"/>
        <w:kinsoku/>
        <w:wordWrap/>
        <w:overflowPunct/>
        <w:topLinePunct w:val="0"/>
        <w:autoSpaceDE/>
        <w:autoSpaceDN/>
        <w:bidi w:val="0"/>
        <w:adjustRightInd/>
        <w:snapToGrid/>
        <w:spacing w:beforeAutospacing="0" w:afterAutospacing="0" w:line="576" w:lineRule="exact"/>
        <w:ind w:firstLine="643" w:firstLineChars="200"/>
        <w:textAlignment w:val="auto"/>
        <w:rPr>
          <w:rFonts w:hint="eastAsia" w:ascii="方正仿宋_GBK" w:hAnsi="方正仿宋_GBK" w:eastAsia="方正仿宋_GBK" w:cs="方正仿宋_GBK"/>
          <w:sz w:val="32"/>
          <w:szCs w:val="32"/>
        </w:rPr>
      </w:pPr>
      <w:r>
        <w:rPr>
          <w:rStyle w:val="7"/>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从预算单位构成看，纳入本单位2020年度决算编制的二级预算单位主要包括：党政办公室、党群工作办公室、人大办公室、经济发展办公室（统计办公室、农村经营管理办公室）、民政和社会事务办公室（卫生健康办公室）、平安建设办公室、规划建设管理环保办公室、财政办公室、应急管理办公室、综合行政执法办公室。</w:t>
      </w:r>
    </w:p>
    <w:p>
      <w:pPr>
        <w:keepNext w:val="0"/>
        <w:keepLines w:val="0"/>
        <w:pageBreakBefore w:val="0"/>
        <w:widowControl w:val="0"/>
        <w:kinsoku/>
        <w:wordWrap/>
        <w:overflowPunct/>
        <w:topLinePunct w:val="0"/>
        <w:autoSpaceDE/>
        <w:autoSpaceDN/>
        <w:bidi w:val="0"/>
        <w:adjustRightInd/>
        <w:snapToGrid/>
        <w:spacing w:beforeAutospacing="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事业单位：农业服务中心、文化服务中心、劳动就业和社会保障服务所、退役军人服务站、综合行政执法大队、建设环保服务中心、</w:t>
      </w:r>
      <w:r>
        <w:rPr>
          <w:rFonts w:hint="eastAsia" w:ascii="方正仿宋_GBK" w:hAnsi="方正仿宋_GBK" w:eastAsia="方正仿宋_GBK" w:cs="方正仿宋_GBK"/>
          <w:sz w:val="32"/>
          <w:szCs w:val="32"/>
          <w:lang w:eastAsia="zh-CN"/>
        </w:rPr>
        <w:t>旅游</w:t>
      </w:r>
      <w:r>
        <w:rPr>
          <w:rFonts w:hint="eastAsia" w:ascii="方正仿宋_GBK" w:hAnsi="方正仿宋_GBK" w:eastAsia="方正仿宋_GBK" w:cs="方正仿宋_GBK"/>
          <w:sz w:val="32"/>
          <w:szCs w:val="32"/>
        </w:rPr>
        <w:t>服务中心。</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黑体_GBK" w:hAnsi="方正黑体_GBK" w:eastAsia="方正黑体_GBK" w:cs="方正黑体_GBK"/>
          <w:b w:val="0"/>
          <w:bCs w:val="0"/>
          <w:sz w:val="32"/>
          <w:szCs w:val="32"/>
        </w:rPr>
      </w:pPr>
      <w:r>
        <w:rPr>
          <w:rStyle w:val="7"/>
          <w:rFonts w:hint="eastAsia" w:ascii="方正黑体_GBK" w:hAnsi="方正黑体_GBK" w:eastAsia="方正黑体_GBK" w:cs="方正黑体_GBK"/>
          <w:b w:val="0"/>
          <w:bCs w:val="0"/>
          <w:sz w:val="32"/>
          <w:szCs w:val="32"/>
        </w:rPr>
        <w:t>二、部门决算情况说明</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楷体_GBK" w:hAnsi="方正楷体_GBK" w:eastAsia="方正楷体_GBK" w:cs="方正楷体_GBK"/>
          <w:b w:val="0"/>
          <w:bCs w:val="0"/>
          <w:sz w:val="32"/>
          <w:szCs w:val="32"/>
        </w:rPr>
      </w:pPr>
      <w:r>
        <w:rPr>
          <w:rStyle w:val="7"/>
          <w:rFonts w:hint="eastAsia" w:ascii="方正楷体_GBK" w:hAnsi="方正楷体_GBK" w:eastAsia="方正楷体_GBK" w:cs="方正楷体_GBK"/>
          <w:b w:val="0"/>
          <w:bCs w:val="0"/>
          <w:sz w:val="32"/>
          <w:szCs w:val="32"/>
        </w:rPr>
        <w:t>（一）收入支出决算总体情况说明</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3" w:firstLineChars="200"/>
        <w:textAlignment w:val="auto"/>
        <w:rPr>
          <w:rFonts w:hint="eastAsia" w:ascii="方正仿宋_GBK" w:hAnsi="方正仿宋_GBK" w:eastAsia="方正仿宋_GBK" w:cs="方正仿宋_GBK"/>
          <w:sz w:val="32"/>
          <w:szCs w:val="32"/>
        </w:rPr>
      </w:pPr>
      <w:r>
        <w:rPr>
          <w:rStyle w:val="7"/>
          <w:rFonts w:hint="eastAsia" w:ascii="方正仿宋_GBK" w:hAnsi="方正仿宋_GBK" w:eastAsia="方正仿宋_GBK" w:cs="方正仿宋_GBK"/>
          <w:sz w:val="32"/>
          <w:szCs w:val="32"/>
        </w:rPr>
        <w:t>1.总体情况</w:t>
      </w:r>
      <w:r>
        <w:rPr>
          <w:rFonts w:hint="eastAsia" w:ascii="方正仿宋_GBK" w:hAnsi="方正仿宋_GBK" w:eastAsia="方正仿宋_GBK" w:cs="方正仿宋_GBK"/>
          <w:sz w:val="32"/>
          <w:szCs w:val="32"/>
        </w:rPr>
        <w:t>。2020年度收入总计3,892.86万元，支出总计3,892.86万元。收支较上年决算数减少1,758.06万元、 下降</w:t>
      </w:r>
      <w:r>
        <w:rPr>
          <w:rFonts w:hint="eastAsia" w:ascii="方正仿宋_GBK" w:hAnsi="方正仿宋_GBK" w:eastAsia="方正仿宋_GBK" w:cs="方正仿宋_GBK"/>
          <w:vanish/>
          <w:sz w:val="32"/>
          <w:szCs w:val="32"/>
        </w:rPr>
        <w:t xml:space="preserve"> </w:t>
      </w:r>
      <w:r>
        <w:rPr>
          <w:rFonts w:hint="eastAsia" w:ascii="方正仿宋_GBK" w:hAnsi="方正仿宋_GBK" w:eastAsia="方正仿宋_GBK" w:cs="方正仿宋_GBK"/>
          <w:sz w:val="32"/>
          <w:szCs w:val="32"/>
        </w:rPr>
        <w:t>31.1%，主要原因是乡村振兴资金、凤马路工程款、各项垃圾清运费及农业发展项目资金减少。</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3" w:firstLineChars="200"/>
        <w:textAlignment w:val="auto"/>
        <w:rPr>
          <w:rFonts w:hint="eastAsia" w:ascii="方正仿宋_GBK" w:hAnsi="方正仿宋_GBK" w:eastAsia="方正仿宋_GBK" w:cs="方正仿宋_GBK"/>
          <w:color w:val="FF0000"/>
          <w:sz w:val="32"/>
          <w:szCs w:val="32"/>
          <w:shd w:val="clear" w:color="auto" w:fill="FFFF00"/>
        </w:rPr>
      </w:pPr>
      <w:r>
        <w:rPr>
          <w:rStyle w:val="7"/>
          <w:rFonts w:hint="eastAsia" w:ascii="方正仿宋_GBK" w:hAnsi="方正仿宋_GBK" w:eastAsia="方正仿宋_GBK" w:cs="方正仿宋_GBK"/>
          <w:sz w:val="32"/>
          <w:szCs w:val="32"/>
        </w:rPr>
        <w:t>2.收入情况。</w:t>
      </w:r>
      <w:r>
        <w:rPr>
          <w:rFonts w:hint="eastAsia" w:ascii="方正仿宋_GBK" w:hAnsi="方正仿宋_GBK" w:eastAsia="方正仿宋_GBK" w:cs="方正仿宋_GBK"/>
          <w:sz w:val="32"/>
          <w:szCs w:val="32"/>
        </w:rPr>
        <w:t>2020年度收入合计3,577.68万元，较上年决算数减少1,769.24万元，下降33.1%，主要原因是乡村振兴资金和农业发展项目资金减少。其中：财政拨款收入3,577.68万元，占100%；事业收入0.00万元，占0%；经营收入0.00万元，占0%；其他收入0.00万元，占0%。此外，使用非财政拨款结余0.00万元，年初结转和结余315.18万元。</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3" w:firstLineChars="200"/>
        <w:textAlignment w:val="auto"/>
        <w:rPr>
          <w:rFonts w:hint="eastAsia" w:ascii="方正仿宋_GBK" w:hAnsi="方正仿宋_GBK" w:eastAsia="方正仿宋_GBK" w:cs="方正仿宋_GBK"/>
          <w:color w:val="FF0000"/>
          <w:sz w:val="32"/>
          <w:szCs w:val="32"/>
          <w:shd w:val="clear" w:color="auto" w:fill="FFFF00"/>
        </w:rPr>
      </w:pPr>
      <w:r>
        <w:rPr>
          <w:rStyle w:val="7"/>
          <w:rFonts w:hint="eastAsia" w:ascii="方正仿宋_GBK" w:hAnsi="方正仿宋_GBK" w:eastAsia="方正仿宋_GBK" w:cs="方正仿宋_GBK"/>
          <w:sz w:val="32"/>
          <w:szCs w:val="32"/>
        </w:rPr>
        <w:t>3.支出情况。</w:t>
      </w:r>
      <w:r>
        <w:rPr>
          <w:rFonts w:hint="eastAsia" w:ascii="方正仿宋_GBK" w:hAnsi="方正仿宋_GBK" w:eastAsia="方正仿宋_GBK" w:cs="方正仿宋_GBK"/>
          <w:sz w:val="32"/>
          <w:szCs w:val="32"/>
        </w:rPr>
        <w:t>2020年度支出合计3,881.68万元，较上年决算数减少1,465.24万元，下降27.4%，主要原因是乡村振兴资金、凤马路工程款及各项垃圾清运费减少。其中：基本支出 1,626.41万元，占41.9%；项目支出2,255.27万元，占58.1%；经营支出0.00万元，占0%。此外，结余分配0.00万元。</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3" w:firstLineChars="200"/>
        <w:textAlignment w:val="auto"/>
        <w:rPr>
          <w:rFonts w:hint="eastAsia" w:ascii="方正仿宋_GBK" w:hAnsi="方正仿宋_GBK" w:eastAsia="方正仿宋_GBK" w:cs="方正仿宋_GBK"/>
          <w:sz w:val="32"/>
          <w:szCs w:val="32"/>
        </w:rPr>
      </w:pPr>
      <w:r>
        <w:rPr>
          <w:rStyle w:val="7"/>
          <w:rFonts w:hint="eastAsia" w:ascii="方正仿宋_GBK" w:hAnsi="方正仿宋_GBK" w:eastAsia="方正仿宋_GBK" w:cs="方正仿宋_GBK"/>
          <w:sz w:val="32"/>
          <w:szCs w:val="32"/>
        </w:rPr>
        <w:t>4.结转结余情况。</w:t>
      </w:r>
      <w:r>
        <w:rPr>
          <w:rFonts w:hint="eastAsia" w:ascii="方正仿宋_GBK" w:hAnsi="方正仿宋_GBK" w:eastAsia="方正仿宋_GBK" w:cs="方正仿宋_GBK"/>
          <w:sz w:val="32"/>
          <w:szCs w:val="32"/>
        </w:rPr>
        <w:t>2020年度年末结转和结余11.18万元，较上年决算数减少292.82万元，下降96.3%，主要原因是乡村振兴资金及农业发展项目资金支出增加。</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楷体_GBK" w:hAnsi="方正楷体_GBK" w:eastAsia="方正楷体_GBK" w:cs="方正楷体_GBK"/>
          <w:b w:val="0"/>
          <w:bCs w:val="0"/>
          <w:sz w:val="32"/>
          <w:szCs w:val="32"/>
        </w:rPr>
      </w:pPr>
      <w:r>
        <w:rPr>
          <w:rStyle w:val="7"/>
          <w:rFonts w:hint="eastAsia" w:ascii="方正楷体_GBK" w:hAnsi="方正楷体_GBK" w:eastAsia="方正楷体_GBK" w:cs="方正楷体_GBK"/>
          <w:b w:val="0"/>
          <w:bCs w:val="0"/>
          <w:sz w:val="32"/>
          <w:szCs w:val="32"/>
        </w:rPr>
        <w:t>（二）财政拨款收入支出决算总体情况说明</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2020年度财政拨款收、支总计3,892.86万元。与2019年相比，财政拨款收、支总计各减少1,758.06万 元，下降31.1%。主要原因是乡村振兴资金、凤马路工程款、各项垃圾清运费及农业发展项目资金减少。</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楷体_GBK" w:hAnsi="方正楷体_GBK" w:eastAsia="方正楷体_GBK" w:cs="方正楷体_GBK"/>
          <w:b w:val="0"/>
          <w:bCs w:val="0"/>
          <w:sz w:val="32"/>
          <w:szCs w:val="32"/>
        </w:rPr>
      </w:pPr>
      <w:r>
        <w:rPr>
          <w:rStyle w:val="7"/>
          <w:rFonts w:hint="eastAsia" w:ascii="方正楷体_GBK" w:hAnsi="方正楷体_GBK" w:eastAsia="方正楷体_GBK" w:cs="方正楷体_GBK"/>
          <w:b w:val="0"/>
          <w:bCs w:val="0"/>
          <w:sz w:val="32"/>
          <w:szCs w:val="32"/>
        </w:rPr>
        <w:t>（三）一般公共预算财政拨款支出决算情况说明</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3" w:firstLineChars="200"/>
        <w:textAlignment w:val="auto"/>
        <w:rPr>
          <w:rFonts w:hint="eastAsia" w:ascii="方正仿宋_GBK" w:hAnsi="方正仿宋_GBK" w:eastAsia="方正仿宋_GBK" w:cs="方正仿宋_GBK"/>
          <w:sz w:val="32"/>
          <w:szCs w:val="32"/>
        </w:rPr>
      </w:pPr>
      <w:r>
        <w:rPr>
          <w:rStyle w:val="7"/>
          <w:rFonts w:hint="eastAsia" w:ascii="方正仿宋_GBK" w:hAnsi="方正仿宋_GBK" w:eastAsia="方正仿宋_GBK" w:cs="方正仿宋_GBK"/>
          <w:sz w:val="32"/>
          <w:szCs w:val="32"/>
        </w:rPr>
        <w:t>1.收入情况。</w:t>
      </w:r>
      <w:r>
        <w:rPr>
          <w:rFonts w:hint="eastAsia" w:ascii="方正仿宋_GBK" w:hAnsi="方正仿宋_GBK" w:eastAsia="方正仿宋_GBK" w:cs="方正仿宋_GBK"/>
          <w:sz w:val="32"/>
          <w:szCs w:val="32"/>
        </w:rPr>
        <w:t>2020年度一般公共预算财政拨款收入3,416.55万元，较上年决算数减少1,902.27万元，下降35.8%。主要原因是乡村振兴资金、凤马路工程款、各项垃圾清运费及农业发展项目资金减少。较年初预算数增加36.55万元，增长1.1%。主要原因是乡村振兴项目资金增加。此外，年初财政拨款结转和结余264.67万元。</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3" w:firstLineChars="200"/>
        <w:textAlignment w:val="auto"/>
        <w:rPr>
          <w:rFonts w:hint="eastAsia" w:ascii="方正仿宋_GBK" w:hAnsi="方正仿宋_GBK" w:eastAsia="方正仿宋_GBK" w:cs="方正仿宋_GBK"/>
          <w:sz w:val="32"/>
          <w:szCs w:val="32"/>
        </w:rPr>
      </w:pPr>
      <w:r>
        <w:rPr>
          <w:rStyle w:val="7"/>
          <w:rFonts w:hint="eastAsia" w:ascii="方正仿宋_GBK" w:hAnsi="方正仿宋_GBK" w:eastAsia="方正仿宋_GBK" w:cs="方正仿宋_GBK"/>
          <w:sz w:val="32"/>
          <w:szCs w:val="32"/>
        </w:rPr>
        <w:t>2.支出情况。</w:t>
      </w:r>
      <w:r>
        <w:rPr>
          <w:rFonts w:hint="eastAsia" w:ascii="方正仿宋_GBK" w:hAnsi="方正仿宋_GBK" w:eastAsia="方正仿宋_GBK" w:cs="方正仿宋_GBK"/>
          <w:sz w:val="32"/>
          <w:szCs w:val="32"/>
        </w:rPr>
        <w:t>2020年度一般公共预算财政拨款支出3,680.55万元，较上年决算数减少1,638.27万元，下降30.8%。主要原因是乡村振兴资金、凤马路工程款、各项垃圾清运费及农业发展项目资金减少。较年初预算数 增加35.88万元，增长1%。主要原因是乡村振兴项目资金增加。</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3" w:firstLineChars="200"/>
        <w:textAlignment w:val="auto"/>
        <w:rPr>
          <w:rFonts w:hint="eastAsia" w:ascii="方正仿宋_GBK" w:hAnsi="方正仿宋_GBK" w:eastAsia="方正仿宋_GBK" w:cs="方正仿宋_GBK"/>
          <w:sz w:val="32"/>
          <w:szCs w:val="32"/>
        </w:rPr>
      </w:pPr>
      <w:r>
        <w:rPr>
          <w:rStyle w:val="7"/>
          <w:rFonts w:hint="eastAsia" w:ascii="方正仿宋_GBK" w:hAnsi="方正仿宋_GBK" w:eastAsia="方正仿宋_GBK" w:cs="方正仿宋_GBK"/>
          <w:sz w:val="32"/>
          <w:szCs w:val="32"/>
        </w:rPr>
        <w:t>3.结转结余情况。</w:t>
      </w:r>
      <w:r>
        <w:rPr>
          <w:rFonts w:hint="eastAsia" w:ascii="方正仿宋_GBK" w:hAnsi="方正仿宋_GBK" w:eastAsia="方正仿宋_GBK" w:cs="方正仿宋_GBK"/>
          <w:sz w:val="32"/>
          <w:szCs w:val="32"/>
        </w:rPr>
        <w:t>2020年度年末一般公共预算财政拨款结转和结余0.67万元，较上年决算数减少263.33万元，下降99.7%，主要原因是乡村振兴资金及农业发展项目资金支出增加。</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3" w:firstLineChars="200"/>
        <w:textAlignment w:val="auto"/>
        <w:rPr>
          <w:rFonts w:hint="eastAsia" w:ascii="方正仿宋_GBK" w:hAnsi="方正仿宋_GBK" w:eastAsia="方正仿宋_GBK" w:cs="方正仿宋_GBK"/>
          <w:sz w:val="32"/>
          <w:szCs w:val="32"/>
        </w:rPr>
      </w:pPr>
      <w:r>
        <w:rPr>
          <w:rStyle w:val="7"/>
          <w:rFonts w:hint="eastAsia" w:ascii="方正仿宋_GBK" w:hAnsi="方正仿宋_GBK" w:eastAsia="方正仿宋_GBK" w:cs="方正仿宋_GBK"/>
          <w:sz w:val="32"/>
          <w:szCs w:val="32"/>
        </w:rPr>
        <w:t>4.比较情况</w:t>
      </w:r>
      <w:r>
        <w:rPr>
          <w:rFonts w:hint="eastAsia" w:ascii="方正仿宋_GBK" w:hAnsi="方正仿宋_GBK" w:eastAsia="方正仿宋_GBK" w:cs="方正仿宋_GBK"/>
          <w:sz w:val="32"/>
          <w:szCs w:val="32"/>
        </w:rPr>
        <w:t xml:space="preserve">。本部门2020年度一般公共预算财政拨款支出主要用于以下几个方面： </w:t>
      </w:r>
    </w:p>
    <w:p>
      <w:pPr>
        <w:keepNext w:val="0"/>
        <w:keepLines w:val="0"/>
        <w:pageBreakBefore w:val="0"/>
        <w:widowControl w:val="0"/>
        <w:kinsoku/>
        <w:wordWrap/>
        <w:overflowPunct/>
        <w:topLinePunct w:val="0"/>
        <w:autoSpaceDE/>
        <w:autoSpaceDN/>
        <w:bidi w:val="0"/>
        <w:adjustRightInd/>
        <w:snapToGrid/>
        <w:spacing w:beforeAutospacing="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（1）一般公共服务支出1,227.40万元，占33.3%，较年初预算数减少2.60万元，下降0.2%，主要原因是公共服务支出减少。</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（2）文化旅游体育与传媒支出308.09万元，占8.4%，较年初预算数增加0.09万元，增长0%，主要原因是文化旅游体育与传媒支出增加。</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（3）社会保障与就业支出974.06万元，占26.5%，较年初预算数增加0.06万元，增长0%，主要原因是社会保障与就业支出增加。</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（4）卫生健康支出96.78万元，占2.6%，较年初预算数减少0.22万 元，下降0.2%，主要原因是卫生健康支出减少。</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（5）城乡社区支出336.00万元，占9.1%，较年初预算数增加0.00万 元，增长0%，与年初预算数一致。</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（6）农林水支出619.47万元，占16.8%，较年初预算数减少0.53万 元，下降0.1%，主要原因是农林水支出减少。</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（7）住房保障支出83.17万元，占2.3%，较年初预算数增加3.50万 元，增长4.4%，主要原因是住房保障支出增加。</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（8）灾害防治及应急管理支出35.57万元，占1%，较年初预算数增加35.57万元，增长%，主要原因是灾害防治及应急管理支出增加。</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楷体_GBK" w:hAnsi="方正楷体_GBK" w:eastAsia="方正楷体_GBK" w:cs="方正楷体_GBK"/>
          <w:b w:val="0"/>
          <w:bCs w:val="0"/>
          <w:sz w:val="32"/>
          <w:szCs w:val="32"/>
        </w:rPr>
      </w:pPr>
      <w:r>
        <w:rPr>
          <w:rStyle w:val="7"/>
          <w:rFonts w:hint="eastAsia" w:ascii="方正楷体_GBK" w:hAnsi="方正楷体_GBK" w:eastAsia="方正楷体_GBK" w:cs="方正楷体_GBK"/>
          <w:b w:val="0"/>
          <w:bCs w:val="0"/>
          <w:sz w:val="32"/>
          <w:szCs w:val="32"/>
        </w:rPr>
        <w:t>（四）一般公共预算财政拨款基本支出决算情况说明</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2020年度一般公共财政拨款基本支出1,626.41万元。其中：人员经费1,179.18万元，较上年决算数增加390.50万 元，增长49.5%，主要原因是2020年度机关及下属事业单位新招录、调离人员品叠后较去年年末增加5人。人员经费用途主要包括. 工资福利支出和商品服务支出。公用经费447.23万元，较上年决算数增加65.78万元，增长17.2%，主要原因是办公费增加64.35万元。公用经费用途主要包括办公费及对个人和家庭的补助。</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楷体_GBK" w:hAnsi="方正楷体_GBK" w:eastAsia="方正楷体_GBK" w:cs="方正楷体_GBK"/>
          <w:b w:val="0"/>
          <w:bCs w:val="0"/>
          <w:sz w:val="32"/>
          <w:szCs w:val="32"/>
        </w:rPr>
      </w:pPr>
      <w:r>
        <w:rPr>
          <w:rStyle w:val="7"/>
          <w:rFonts w:hint="eastAsia" w:ascii="方正楷体_GBK" w:hAnsi="方正楷体_GBK" w:eastAsia="方正楷体_GBK" w:cs="方正楷体_GBK"/>
          <w:b w:val="0"/>
          <w:bCs w:val="0"/>
          <w:sz w:val="32"/>
          <w:szCs w:val="32"/>
        </w:rPr>
        <w:t>（五）政府性基金预算收支决算情况说明</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2020年度政府性基金预算财政拨款年初结转结余50.51万元，年末结转结余10.51万元。本年收入161.13万元，较上年决算数增加133.03万元，增长473.4%，主要原因是抗疫特别国债安排的支出的增加。本年支出201.13万元，较上年决算数增加173.03万元，增长615.8%，主要原因是抗疫特别国债安排的支出的增加。</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（六）国有资本经营预算财政拨款支决算情况说明</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sz w:val="32"/>
          <w:szCs w:val="32"/>
        </w:rPr>
        <w:t>  本单位2020年度无国有资本经营预算财政拨款支出。</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黑体_GBK" w:hAnsi="方正黑体_GBK" w:eastAsia="方正黑体_GBK" w:cs="方正黑体_GBK"/>
          <w:b w:val="0"/>
          <w:bCs w:val="0"/>
          <w:sz w:val="32"/>
          <w:szCs w:val="32"/>
        </w:rPr>
      </w:pPr>
      <w:r>
        <w:rPr>
          <w:rStyle w:val="7"/>
          <w:rFonts w:hint="eastAsia" w:ascii="方正黑体_GBK" w:hAnsi="方正黑体_GBK" w:eastAsia="方正黑体_GBK" w:cs="方正黑体_GBK"/>
          <w:b w:val="0"/>
          <w:bCs w:val="0"/>
          <w:sz w:val="32"/>
          <w:szCs w:val="32"/>
        </w:rPr>
        <w:t>三、“三公”经费情况说明</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楷体_GBK" w:hAnsi="方正楷体_GBK" w:eastAsia="方正楷体_GBK" w:cs="方正楷体_GBK"/>
          <w:b w:val="0"/>
          <w:bCs w:val="0"/>
          <w:sz w:val="32"/>
          <w:szCs w:val="32"/>
        </w:rPr>
      </w:pPr>
      <w:r>
        <w:rPr>
          <w:rStyle w:val="7"/>
          <w:rFonts w:hint="eastAsia" w:ascii="方正楷体_GBK" w:hAnsi="方正楷体_GBK" w:eastAsia="方正楷体_GBK" w:cs="方正楷体_GBK"/>
          <w:b w:val="0"/>
          <w:bCs w:val="0"/>
          <w:sz w:val="32"/>
          <w:szCs w:val="32"/>
        </w:rPr>
        <w:t>（一）“三公”经费支出总体情况说明</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2020年度“三公”经费支出共计15.13万元，较年初预算数减少4.87万元，下降24.4%，主要原因是我镇严格执行财经制度要求，压缩公用经费开支。 较上年支出数减少11.35万 元，下降42.9%，主要原因是我镇严格执行财经制度要求，压缩公用经费开支。</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楷体_GBK" w:hAnsi="方正楷体_GBK" w:eastAsia="方正楷体_GBK" w:cs="方正楷体_GBK"/>
          <w:b w:val="0"/>
          <w:bCs w:val="0"/>
          <w:sz w:val="32"/>
          <w:szCs w:val="32"/>
        </w:rPr>
      </w:pPr>
      <w:r>
        <w:rPr>
          <w:rStyle w:val="7"/>
          <w:rFonts w:hint="eastAsia" w:ascii="方正楷体_GBK" w:hAnsi="方正楷体_GBK" w:eastAsia="方正楷体_GBK" w:cs="方正楷体_GBK"/>
          <w:b w:val="0"/>
          <w:bCs w:val="0"/>
          <w:sz w:val="32"/>
          <w:szCs w:val="32"/>
        </w:rPr>
        <w:t>（二）“三公”经费分项支出情况</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1.本单位2020年度未发生因公出国（境）费用支出</w:t>
      </w:r>
      <w:r>
        <w:rPr>
          <w:rFonts w:hint="eastAsia" w:ascii="方正仿宋_GBK" w:hAnsi="方正仿宋_GBK" w:eastAsia="方正仿宋_GBK" w:cs="方正仿宋_GBK"/>
          <w:sz w:val="32"/>
          <w:szCs w:val="32"/>
          <w:lang w:eastAsia="zh-CN"/>
        </w:rPr>
        <w:t>；</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2.本单位2020年度未发生公务车购置费用支出</w:t>
      </w:r>
      <w:r>
        <w:rPr>
          <w:rFonts w:hint="eastAsia" w:ascii="方正仿宋_GBK" w:hAnsi="方正仿宋_GBK" w:eastAsia="方正仿宋_GBK" w:cs="方正仿宋_GBK"/>
          <w:sz w:val="32"/>
          <w:szCs w:val="32"/>
          <w:lang w:val="en-US" w:eastAsia="zh-CN"/>
        </w:rPr>
        <w:t>；</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公务车运行维护费8.29万元，主要</w:t>
      </w:r>
      <w:r>
        <w:rPr>
          <w:rFonts w:hint="eastAsia" w:ascii="方正仿宋_GBK" w:hAnsi="方正仿宋_GBK" w:eastAsia="方正仿宋_GBK" w:cs="方正仿宋_GBK"/>
          <w:sz w:val="32"/>
          <w:szCs w:val="32"/>
          <w:lang w:eastAsia="zh-CN"/>
        </w:rPr>
        <w:t>原因是</w:t>
      </w:r>
      <w:r>
        <w:rPr>
          <w:rFonts w:hint="eastAsia" w:ascii="方正仿宋_GBK" w:hAnsi="方正仿宋_GBK" w:eastAsia="方正仿宋_GBK" w:cs="方正仿宋_GBK"/>
          <w:sz w:val="32"/>
          <w:szCs w:val="32"/>
        </w:rPr>
        <w:t>用于公务车运行及维护。费用支出较年初预算数减少1.71万元，下降17.1%，主要原因是严格落实中央八项规定，牢固树立过“紧日子”思想，多措并举，厉行节约，从严控制公务用车。较上年支出数减少5.17万元，下降38.4%，主要原因是严格落实中央八项规定，牢固树立过“紧日子”思想，多措并举，厉行节约，从严控制公务用车。</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4.</w:t>
      </w:r>
      <w:bookmarkStart w:id="0" w:name="_GoBack"/>
      <w:bookmarkEnd w:id="0"/>
      <w:r>
        <w:rPr>
          <w:rFonts w:hint="eastAsia" w:ascii="方正仿宋_GBK" w:hAnsi="方正仿宋_GBK" w:eastAsia="方正仿宋_GBK" w:cs="方正仿宋_GBK"/>
          <w:sz w:val="32"/>
          <w:szCs w:val="32"/>
        </w:rPr>
        <w:t>公务接待费6.84万元，主要用于接待接待上级部门指导工作及本单位会议召开会议餐费等。费用支出较年初预算数减少3.16万元，下降31.6%，主要原因是严格落实中央八项规定，牢固树立过“紧日子”思想，多措并举，厉行节约，从严控制公务接待费。较上年支出数减少6.18万元，下降47.5%，主要原因是严格落实中央八项规定，牢固树立过“紧日子”思想，多措并举，厉行节约，从严控制公务接待费。</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楷体_GBK" w:hAnsi="方正楷体_GBK" w:eastAsia="方正楷体_GBK" w:cs="方正楷体_GBK"/>
          <w:b w:val="0"/>
          <w:bCs w:val="0"/>
          <w:sz w:val="32"/>
          <w:szCs w:val="32"/>
        </w:rPr>
      </w:pPr>
      <w:r>
        <w:rPr>
          <w:rStyle w:val="7"/>
          <w:rFonts w:hint="eastAsia" w:ascii="方正楷体_GBK" w:hAnsi="方正楷体_GBK" w:eastAsia="方正楷体_GBK" w:cs="方正楷体_GBK"/>
          <w:b w:val="0"/>
          <w:bCs w:val="0"/>
          <w:sz w:val="32"/>
          <w:szCs w:val="32"/>
        </w:rPr>
        <w:t>（三）“三公”经费实物量情况</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2020年度本部门因公出国（境）共计0个团组，0人；公务用车购置0辆，公务车保有量为4辆；国内公务接待120批次980人，其中：国内外 事接待0批次，0人；国（境）外公务接待0批次，0人。2020年本部门人均接待费69.77元，车均购置费0.00万元，车均维护费2.07万元。</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黑体_GBK" w:hAnsi="方正黑体_GBK" w:eastAsia="方正黑体_GBK" w:cs="方正黑体_GBK"/>
          <w:b w:val="0"/>
          <w:bCs w:val="0"/>
          <w:sz w:val="32"/>
          <w:szCs w:val="32"/>
        </w:rPr>
      </w:pPr>
      <w:r>
        <w:rPr>
          <w:rStyle w:val="7"/>
          <w:rFonts w:hint="eastAsia" w:ascii="方正黑体_GBK" w:hAnsi="方正黑体_GBK" w:eastAsia="方正黑体_GBK" w:cs="方正黑体_GBK"/>
          <w:b w:val="0"/>
          <w:bCs w:val="0"/>
          <w:sz w:val="32"/>
          <w:szCs w:val="32"/>
        </w:rPr>
        <w:t>四、其他需要说明的事项</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楷体_GBK" w:hAnsi="方正楷体_GBK" w:eastAsia="方正楷体_GBK" w:cs="方正楷体_GBK"/>
          <w:b w:val="0"/>
          <w:bCs w:val="0"/>
          <w:sz w:val="32"/>
          <w:szCs w:val="32"/>
        </w:rPr>
      </w:pPr>
      <w:r>
        <w:rPr>
          <w:rStyle w:val="7"/>
          <w:rFonts w:hint="eastAsia" w:ascii="方正楷体_GBK" w:hAnsi="方正楷体_GBK" w:eastAsia="方正楷体_GBK" w:cs="方正楷体_GBK"/>
          <w:b w:val="0"/>
          <w:bCs w:val="0"/>
          <w:sz w:val="32"/>
          <w:szCs w:val="32"/>
        </w:rPr>
        <w:t>（一）机关运行经费情况说明</w:t>
      </w:r>
    </w:p>
    <w:p>
      <w:pPr>
        <w:keepNext w:val="0"/>
        <w:keepLines w:val="0"/>
        <w:pageBreakBefore w:val="0"/>
        <w:widowControl w:val="0"/>
        <w:kinsoku/>
        <w:wordWrap/>
        <w:overflowPunct/>
        <w:topLinePunct w:val="0"/>
        <w:autoSpaceDE/>
        <w:autoSpaceDN/>
        <w:bidi w:val="0"/>
        <w:adjustRightInd/>
        <w:snapToGrid/>
        <w:spacing w:beforeAutospacing="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2020年度本部门机关运行经费支出447.00万元，机关运行经费主要用于开支机关办公费、电费、水费、邮电费、会议费、差旅费、公务接待费、劳务费、委托业务费、印刷费、工会经费、公务车运行及维护费用等。 机关运行经费较上年决算数增加65.55万元，增长17.2%，主要原因是办公费增加。</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color w:val="FF0000"/>
          <w:sz w:val="32"/>
          <w:szCs w:val="32"/>
        </w:rPr>
      </w:pPr>
      <w:r>
        <w:rPr>
          <w:rFonts w:hint="eastAsia" w:ascii="方正仿宋_GBK" w:hAnsi="方正仿宋_GBK" w:eastAsia="方正仿宋_GBK" w:cs="方正仿宋_GBK"/>
          <w:sz w:val="32"/>
          <w:szCs w:val="32"/>
        </w:rPr>
        <w:t>本年度会议费支出8.34万元，较上年决算数减少12.60万元，下降60.2%，主要原因是严格落实中央八项规定，牢固树立过“紧日子”思想，多措并举，厉行节约，从严控制会议费支出。本年度培训费支出 0.50万元，较上年决算数减少1.04万元，下降67.5%，主要原因是严格落实中央八项规定，牢固树立过“紧日子”思想，多措并举，厉行节约，从严控制培训费支出。</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楷体_GBK" w:hAnsi="方正楷体_GBK" w:eastAsia="方正楷体_GBK" w:cs="方正楷体_GBK"/>
          <w:b w:val="0"/>
          <w:bCs w:val="0"/>
          <w:sz w:val="32"/>
          <w:szCs w:val="32"/>
        </w:rPr>
      </w:pPr>
      <w:r>
        <w:rPr>
          <w:rStyle w:val="7"/>
          <w:rFonts w:hint="eastAsia" w:ascii="方正楷体_GBK" w:hAnsi="方正楷体_GBK" w:eastAsia="方正楷体_GBK" w:cs="方正楷体_GBK"/>
          <w:b w:val="0"/>
          <w:bCs w:val="0"/>
          <w:sz w:val="32"/>
          <w:szCs w:val="32"/>
        </w:rPr>
        <w:t>（二）国有资产占用情况说明</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截至2020年12月31日，本部门共有车辆6辆，其中，机要通信用车1辆、应急保障用车3辆，特种专业技术用车2辆。</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楷体_GBK" w:hAnsi="方正楷体_GBK" w:eastAsia="方正楷体_GBK" w:cs="方正楷体_GBK"/>
          <w:b w:val="0"/>
          <w:bCs w:val="0"/>
          <w:sz w:val="32"/>
          <w:szCs w:val="32"/>
        </w:rPr>
      </w:pPr>
      <w:r>
        <w:rPr>
          <w:rStyle w:val="7"/>
          <w:rFonts w:hint="eastAsia" w:ascii="方正楷体_GBK" w:hAnsi="方正楷体_GBK" w:eastAsia="方正楷体_GBK" w:cs="方正楷体_GBK"/>
          <w:b w:val="0"/>
          <w:bCs w:val="0"/>
          <w:sz w:val="32"/>
          <w:szCs w:val="32"/>
        </w:rPr>
        <w:t>（三）政府采购支出情况说明</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2020年度本部门政府采购支出总额4.40万元，其中：政府采购货物支出4.40万元。授予中小企业合同金额4.40万元，占政府采购支出总额的100%，其中：授予小微企业合同金额 4.40万元，占政府采购支出总额的100%。主要用于采购各项办公设备采购等。</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黑体_GBK" w:hAnsi="方正黑体_GBK" w:eastAsia="方正黑体_GBK" w:cs="方正黑体_GBK"/>
          <w:b w:val="0"/>
          <w:bCs w:val="0"/>
          <w:sz w:val="32"/>
          <w:szCs w:val="32"/>
        </w:rPr>
      </w:pPr>
      <w:r>
        <w:rPr>
          <w:rStyle w:val="7"/>
          <w:rFonts w:hint="eastAsia" w:ascii="方正黑体_GBK" w:hAnsi="方正黑体_GBK" w:eastAsia="方正黑体_GBK" w:cs="方正黑体_GBK"/>
          <w:b w:val="0"/>
          <w:bCs w:val="0"/>
          <w:sz w:val="32"/>
          <w:szCs w:val="32"/>
        </w:rPr>
        <w:t>五、预算绩效管理情况说明</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Style w:val="7"/>
          <w:rFonts w:hint="eastAsia" w:ascii="方正仿宋_GBK" w:hAnsi="方正仿宋_GBK" w:eastAsia="方正仿宋_GBK" w:cs="方正仿宋_GBK"/>
          <w:b w:val="0"/>
          <w:bCs w:val="0"/>
          <w:sz w:val="32"/>
          <w:szCs w:val="32"/>
        </w:rPr>
      </w:pPr>
      <w:r>
        <w:rPr>
          <w:rStyle w:val="7"/>
          <w:rFonts w:hint="eastAsia" w:ascii="方正仿宋_GBK" w:hAnsi="方正仿宋_GBK" w:eastAsia="方正仿宋_GBK" w:cs="方正仿宋_GBK"/>
          <w:b w:val="0"/>
          <w:bCs w:val="0"/>
          <w:sz w:val="32"/>
          <w:szCs w:val="32"/>
        </w:rPr>
        <w:t>（一）预算绩效管理范围将基础设施建设、民生资金等项目列入绩效评价范围，不断提高项目资金的使用效益。</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Style w:val="7"/>
          <w:rFonts w:hint="eastAsia" w:ascii="方正仿宋_GBK" w:hAnsi="方正仿宋_GBK" w:eastAsia="方正仿宋_GBK" w:cs="方正仿宋_GBK"/>
          <w:b w:val="0"/>
          <w:bCs w:val="0"/>
          <w:sz w:val="32"/>
          <w:szCs w:val="32"/>
        </w:rPr>
      </w:pPr>
      <w:r>
        <w:rPr>
          <w:rStyle w:val="7"/>
          <w:rFonts w:hint="eastAsia" w:ascii="方正仿宋_GBK" w:hAnsi="方正仿宋_GBK" w:eastAsia="方正仿宋_GBK" w:cs="方正仿宋_GBK"/>
          <w:b w:val="0"/>
          <w:bCs w:val="0"/>
          <w:sz w:val="32"/>
          <w:szCs w:val="32"/>
        </w:rPr>
        <w:t>（二）加强绩效评价管理与财政资金监管，财政监督检查工作的相互融合，绩效评价在预算分配、预算执行、结果应用的全过程管理机制不断完善。</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Style w:val="7"/>
          <w:rFonts w:hint="eastAsia" w:ascii="方正仿宋_GBK" w:hAnsi="方正仿宋_GBK" w:eastAsia="方正仿宋_GBK" w:cs="方正仿宋_GBK"/>
          <w:b w:val="0"/>
          <w:bCs w:val="0"/>
          <w:sz w:val="32"/>
          <w:szCs w:val="32"/>
        </w:rPr>
      </w:pPr>
      <w:r>
        <w:rPr>
          <w:rStyle w:val="7"/>
          <w:rFonts w:hint="eastAsia" w:ascii="方正仿宋_GBK" w:hAnsi="方正仿宋_GBK" w:eastAsia="方正仿宋_GBK" w:cs="方正仿宋_GBK"/>
          <w:b w:val="0"/>
          <w:bCs w:val="0"/>
          <w:sz w:val="32"/>
          <w:szCs w:val="32"/>
        </w:rPr>
        <w:t>（三）不断加强学习，建立预算绩效管理理念。对资金投入、资金使用方向、项目实施产生的效益总体把握，在年度预算资金分配中掌握主动权，预算绩效目标的申报与批复，也在一定程度上促进了预算编制的科学合理性。</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黑体_GBK" w:hAnsi="方正黑体_GBK" w:eastAsia="方正黑体_GBK" w:cs="方正黑体_GBK"/>
          <w:b w:val="0"/>
          <w:bCs w:val="0"/>
          <w:sz w:val="32"/>
          <w:szCs w:val="32"/>
        </w:rPr>
      </w:pPr>
      <w:r>
        <w:rPr>
          <w:rStyle w:val="7"/>
          <w:rFonts w:hint="eastAsia" w:ascii="方正黑体_GBK" w:hAnsi="方正黑体_GBK" w:eastAsia="方正黑体_GBK" w:cs="方正黑体_GBK"/>
          <w:b w:val="0"/>
          <w:bCs w:val="0"/>
          <w:sz w:val="32"/>
          <w:szCs w:val="32"/>
        </w:rPr>
        <w:t>六、专业名词解释</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（一）财政拨款收入</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指本年度从本级财政部门取得的财政拨款，包括一般公共预算财政拨款和政府性基金预算财政拨款。</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（二）事业收入</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指事业单位开展专业业务活动及其辅助活动取得的现金流入；事业单位收到的财政专户实际核拨的教育收费等资金在此反映。</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（三）经营收入</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指事业单位在专业业务活动及其辅助活动之外开展非独立核算经营活动取得的现金流入。</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（四）其他收入</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（五）使用非财政拨款结余</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指单位在当年的“财政拨款收入”、“事业收入”、“经营收入”、“其他收入”等不足以安排当年支出的情况下，使用以前年度积累的非财政拨款结余弥补本年度收支缺口的资金。</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（六）年初结转和结余</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指单位上年结转本年使用的基本支出结转、项目支出结转和结余、经营结余。</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（七）结余分配</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指单位按照国家有关规定，</w:t>
      </w:r>
      <w:r>
        <w:rPr>
          <w:rFonts w:hint="eastAsia" w:ascii="方正仿宋_GBK" w:hAnsi="方正仿宋_GBK" w:eastAsia="方正仿宋_GBK" w:cs="方正仿宋_GBK"/>
          <w:sz w:val="32"/>
          <w:szCs w:val="32"/>
          <w:lang w:eastAsia="zh-CN"/>
        </w:rPr>
        <w:t>交纳</w:t>
      </w:r>
      <w:r>
        <w:rPr>
          <w:rFonts w:hint="eastAsia" w:ascii="方正仿宋_GBK" w:hAnsi="方正仿宋_GBK" w:eastAsia="方正仿宋_GBK" w:cs="方正仿宋_GBK"/>
          <w:sz w:val="32"/>
          <w:szCs w:val="32"/>
        </w:rPr>
        <w:t>所得税、提取专用基金、转入非财政拨款结余等当年结余的分配情况。</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（八）年末结转和结余</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指单位结转下年的基本支出结转、项目支出结转和结余、经营结余。</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（九）基本支出</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（十）项目支出</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指在基本支出之外为完成特定行政任务和事业发展目标所发生的支出。</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（十一）经营支出</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指事业单位在专业业务活动及其辅助活动之外开展非独立核算经营活动发生的支出。</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（十二）“三公”经费</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（十三）机关运行经费</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为保障行政单位（含参照公务员法管理的事业单位）运行用于购买货物和服务等的各项公用经费，包括办公及印刷费、邮电费、差旅费、会议费、福利费、日常维护 费、专用材料及一般设备购置费、办公用房水电费、办公用房取暖费、办公用房物业管理费、公务用车运行维护费以及其他费用。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（十四）工资福利支出（支出经济分类科目类级）</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反映单位开支的在职职工和编制外长期聘用人员的各类劳动报酬，以及为上述人员</w:t>
      </w:r>
      <w:r>
        <w:rPr>
          <w:rFonts w:hint="eastAsia" w:ascii="方正仿宋_GBK" w:hAnsi="方正仿宋_GBK" w:eastAsia="方正仿宋_GBK" w:cs="方正仿宋_GBK"/>
          <w:sz w:val="32"/>
          <w:szCs w:val="32"/>
          <w:lang w:eastAsia="zh-CN"/>
        </w:rPr>
        <w:t>交纳</w:t>
      </w:r>
      <w:r>
        <w:rPr>
          <w:rFonts w:hint="eastAsia" w:ascii="方正仿宋_GBK" w:hAnsi="方正仿宋_GBK" w:eastAsia="方正仿宋_GBK" w:cs="方正仿宋_GBK"/>
          <w:sz w:val="32"/>
          <w:szCs w:val="32"/>
        </w:rPr>
        <w:t>的各项社会保险费等。</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（十五）商品和服务支出（支出经济分类科目类级）</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反映单位购买商品和服务的支出（不包括用于购置固定资产的支出、战略性和应急储备支出）。</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（十六）对个人和家庭的补助（支出经济分类科目类级）</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反映用于对个人和家庭的补助支出。</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Style w:val="7"/>
          <w:rFonts w:hint="eastAsia" w:ascii="方正楷体_GBK" w:hAnsi="方正楷体_GBK" w:eastAsia="方正楷体_GBK" w:cs="方正楷体_GBK"/>
          <w:b w:val="0"/>
          <w:bCs w:val="0"/>
          <w:sz w:val="32"/>
          <w:szCs w:val="32"/>
        </w:rPr>
        <w:t>（十七）其他资本性支出（支出经济分类科目类级）</w:t>
      </w:r>
      <w:r>
        <w:rPr>
          <w:rFonts w:hint="eastAsia" w:ascii="方正楷体_GBK" w:hAnsi="方正楷体_GBK" w:eastAsia="方正楷体_GBK" w:cs="方正楷体_GBK"/>
          <w:b w:val="0"/>
          <w:bCs w:val="0"/>
          <w:sz w:val="32"/>
          <w:szCs w:val="32"/>
        </w:rPr>
        <w:t>：</w:t>
      </w:r>
      <w:r>
        <w:rPr>
          <w:rFonts w:hint="eastAsia" w:ascii="方正仿宋_GBK" w:hAnsi="方正仿宋_GBK" w:eastAsia="方正仿宋_GBK" w:cs="方正仿宋_GBK"/>
          <w:sz w:val="32"/>
          <w:szCs w:val="32"/>
        </w:rPr>
        <w:t>反映非各级发展与改革部门集中安排的用于购置固定资产、战略性和应急性储备、土地和无形资产，以及构建基础设施、大型修缮和财政支持企业更新改造所发生的支出。</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黑体_GBK" w:hAnsi="方正黑体_GBK" w:eastAsia="方正黑体_GBK" w:cs="方正黑体_GBK"/>
          <w:b w:val="0"/>
          <w:bCs w:val="0"/>
          <w:sz w:val="32"/>
          <w:szCs w:val="32"/>
        </w:rPr>
      </w:pPr>
      <w:r>
        <w:rPr>
          <w:rStyle w:val="7"/>
          <w:rFonts w:hint="eastAsia" w:ascii="方正黑体_GBK" w:hAnsi="方正黑体_GBK" w:eastAsia="方正黑体_GBK" w:cs="方正黑体_GBK"/>
          <w:b w:val="0"/>
          <w:bCs w:val="0"/>
          <w:sz w:val="32"/>
          <w:szCs w:val="32"/>
        </w:rPr>
        <w:t>七、决算公开联系方式及信息反馈渠道</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本单位决算公开信息反馈和联系方式：023-48489098</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textAlignment w:val="auto"/>
        <w:rPr>
          <w:rFonts w:hint="eastAsia" w:ascii="方正仿宋_GBK" w:hAnsi="方正仿宋_GBK" w:eastAsia="方正仿宋_GBK" w:cs="方正仿宋_GBK"/>
          <w:sz w:val="32"/>
          <w:szCs w:val="32"/>
        </w:rPr>
      </w:pPr>
    </w:p>
    <w:sectPr>
      <w:pgSz w:w="11907"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jg0OTk2NjJmNTIyZjRmMGQ1NjVkMjQyZDIxODk3NzkifQ=="/>
  </w:docVars>
  <w:rsids>
    <w:rsidRoot w:val="00F95E2C"/>
    <w:rsid w:val="0001495E"/>
    <w:rsid w:val="0006468C"/>
    <w:rsid w:val="000C389E"/>
    <w:rsid w:val="000E7447"/>
    <w:rsid w:val="0011032D"/>
    <w:rsid w:val="001160FE"/>
    <w:rsid w:val="001276CC"/>
    <w:rsid w:val="001600BE"/>
    <w:rsid w:val="001A6452"/>
    <w:rsid w:val="001E724D"/>
    <w:rsid w:val="00253AB2"/>
    <w:rsid w:val="002F47E1"/>
    <w:rsid w:val="00352B59"/>
    <w:rsid w:val="00354A95"/>
    <w:rsid w:val="003C1933"/>
    <w:rsid w:val="00404FD7"/>
    <w:rsid w:val="00427613"/>
    <w:rsid w:val="00447040"/>
    <w:rsid w:val="004E049B"/>
    <w:rsid w:val="00503ADC"/>
    <w:rsid w:val="00526DDA"/>
    <w:rsid w:val="00546FA0"/>
    <w:rsid w:val="005B2E50"/>
    <w:rsid w:val="0062555E"/>
    <w:rsid w:val="006535C5"/>
    <w:rsid w:val="006A29C0"/>
    <w:rsid w:val="00745EDE"/>
    <w:rsid w:val="007649E5"/>
    <w:rsid w:val="007C22A2"/>
    <w:rsid w:val="00823838"/>
    <w:rsid w:val="0085542D"/>
    <w:rsid w:val="00895436"/>
    <w:rsid w:val="008B2014"/>
    <w:rsid w:val="009209A0"/>
    <w:rsid w:val="009225A3"/>
    <w:rsid w:val="00936CE3"/>
    <w:rsid w:val="00A207B7"/>
    <w:rsid w:val="00A24F45"/>
    <w:rsid w:val="00A52F15"/>
    <w:rsid w:val="00A84363"/>
    <w:rsid w:val="00A91B25"/>
    <w:rsid w:val="00B360FD"/>
    <w:rsid w:val="00BA355E"/>
    <w:rsid w:val="00BF1AD2"/>
    <w:rsid w:val="00C05576"/>
    <w:rsid w:val="00C71954"/>
    <w:rsid w:val="00D16195"/>
    <w:rsid w:val="00D2309D"/>
    <w:rsid w:val="00DC6775"/>
    <w:rsid w:val="00E77EB9"/>
    <w:rsid w:val="00E81623"/>
    <w:rsid w:val="00EE00A0"/>
    <w:rsid w:val="00EF62CC"/>
    <w:rsid w:val="00F03489"/>
    <w:rsid w:val="00F55174"/>
    <w:rsid w:val="00F95E2C"/>
    <w:rsid w:val="00F96F72"/>
    <w:rsid w:val="2D2B45A9"/>
    <w:rsid w:val="3C1B7F09"/>
    <w:rsid w:val="5CDC5705"/>
    <w:rsid w:val="5F670B6B"/>
    <w:rsid w:val="61DC46A2"/>
    <w:rsid w:val="6DF60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spacing w:before="100" w:beforeAutospacing="1" w:after="100" w:afterAutospacing="1"/>
    </w:pPr>
  </w:style>
  <w:style w:type="character" w:styleId="7">
    <w:name w:val="Strong"/>
    <w:basedOn w:val="6"/>
    <w:qFormat/>
    <w:uiPriority w:val="22"/>
    <w:rPr>
      <w:b/>
      <w:bCs/>
    </w:rPr>
  </w:style>
  <w:style w:type="character" w:customStyle="1" w:styleId="8">
    <w:name w:val="页眉 Char"/>
    <w:basedOn w:val="6"/>
    <w:link w:val="3"/>
    <w:semiHidden/>
    <w:uiPriority w:val="99"/>
    <w:rPr>
      <w:rFonts w:ascii="宋体" w:hAnsi="宋体" w:eastAsia="宋体" w:cs="宋体"/>
      <w:sz w:val="18"/>
      <w:szCs w:val="18"/>
    </w:rPr>
  </w:style>
  <w:style w:type="character" w:customStyle="1" w:styleId="9">
    <w:name w:val="页脚 Char"/>
    <w:basedOn w:val="6"/>
    <w:link w:val="2"/>
    <w:semiHidden/>
    <w:qFormat/>
    <w:uiPriority w:val="99"/>
    <w:rPr>
      <w:rFonts w:ascii="宋体" w:hAnsi="宋体" w:eastAsia="宋体" w:cs="宋体"/>
      <w:sz w:val="18"/>
      <w:szCs w:val="18"/>
    </w:rPr>
  </w:style>
  <w:style w:type="paragraph" w:styleId="10">
    <w:name w:val="List Paragraph"/>
    <w:basedOn w:val="1"/>
    <w:qFormat/>
    <w:uiPriority w:val="34"/>
    <w:pPr>
      <w:widowControl w:val="0"/>
      <w:ind w:firstLine="420" w:firstLineChars="200"/>
      <w:jc w:val="both"/>
    </w:pPr>
    <w:rPr>
      <w:rFonts w:ascii="Calibri" w:hAnsi="Calibri" w:cs="Times New Roman"/>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11</Pages>
  <Words>4902</Words>
  <Characters>5506</Characters>
  <Lines>43</Lines>
  <Paragraphs>12</Paragraphs>
  <TotalTime>88</TotalTime>
  <ScaleCrop>false</ScaleCrop>
  <LinksUpToDate>false</LinksUpToDate>
  <CharactersWithSpaces>5540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2022-08-25T06:57:00Z</dcterms:created>
  <dc:creator>Micorosoft</dc:creator>
  <cp:lastModifiedBy>Administrator</cp:lastModifiedBy>
  <dcterms:modified xsi:type="dcterms:W3CDTF">2022-08-30T08:22:12Z</dcterms:modified>
  <dc:title>公开报告模板</dc:title>
  <cp:revision>238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A21FE88854A4497C81E137B605A8BDCA</vt:lpwstr>
  </property>
</Properties>
</file>