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880" w:firstLineChars="200"/>
        <w:jc w:val="center"/>
        <w:textAlignment w:val="auto"/>
        <w:outlineLvl w:val="9"/>
        <w:rPr>
          <w:rStyle w:val="8"/>
          <w:rFonts w:hint="default" w:ascii="Times New Roman" w:hAnsi="Times New Roman" w:eastAsia="方正小标宋_GBK" w:cs="Times New Roman"/>
          <w:b w:val="0"/>
          <w:bCs/>
          <w:i w:val="0"/>
          <w:caps w:val="0"/>
          <w:color w:val="0F1115"/>
          <w:spacing w:val="0"/>
          <w:sz w:val="44"/>
          <w:szCs w:val="44"/>
          <w:shd w:val="clear" w:fill="FFFFFF"/>
        </w:rPr>
      </w:pPr>
      <w:r>
        <w:rPr>
          <w:rStyle w:val="8"/>
          <w:rFonts w:hint="default" w:ascii="Times New Roman" w:hAnsi="Times New Roman" w:eastAsia="方正小标宋_GBK" w:cs="Times New Roman"/>
          <w:b w:val="0"/>
          <w:bCs/>
          <w:i w:val="0"/>
          <w:caps w:val="0"/>
          <w:color w:val="0F1115"/>
          <w:spacing w:val="0"/>
          <w:sz w:val="44"/>
          <w:szCs w:val="44"/>
          <w:shd w:val="clear" w:fill="FFFFFF"/>
        </w:rPr>
        <w:t>重庆市綦江区农业农村委员会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880" w:firstLineChars="200"/>
        <w:jc w:val="center"/>
        <w:textAlignment w:val="auto"/>
        <w:outlineLvl w:val="9"/>
        <w:rPr>
          <w:rStyle w:val="8"/>
          <w:rFonts w:hint="default" w:ascii="Times New Roman" w:hAnsi="Times New Roman" w:eastAsia="方正仿宋_GBK" w:cs="Times New Roman"/>
          <w:b/>
          <w:i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Style w:val="8"/>
          <w:rFonts w:hint="default" w:ascii="Times New Roman" w:hAnsi="Times New Roman" w:eastAsia="方正小标宋_GBK" w:cs="Times New Roman"/>
          <w:b w:val="0"/>
          <w:bCs/>
          <w:i w:val="0"/>
          <w:caps w:val="0"/>
          <w:color w:val="0F1115"/>
          <w:spacing w:val="0"/>
          <w:sz w:val="44"/>
          <w:szCs w:val="44"/>
          <w:shd w:val="clear" w:fill="FFFFFF"/>
        </w:rPr>
        <w:t>2025年政府信息公开工作年度报告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exact"/>
        <w:ind w:left="0" w:leftChars="0" w:right="0" w:rightChars="0" w:firstLine="642" w:firstLineChars="200"/>
        <w:jc w:val="center"/>
        <w:textAlignment w:val="auto"/>
        <w:outlineLvl w:val="9"/>
        <w:rPr>
          <w:rStyle w:val="8"/>
          <w:rFonts w:hint="default" w:ascii="Times New Roman" w:hAnsi="Times New Roman" w:eastAsia="方正仿宋_GBK" w:cs="Times New Roman"/>
          <w:b/>
          <w:i w:val="0"/>
          <w:caps w:val="0"/>
          <w:color w:val="0F1115"/>
          <w:spacing w:val="0"/>
          <w:sz w:val="32"/>
          <w:szCs w:val="32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根据《中华人民共和国政府信息公开条例》和《国务院办公厅政府信息与政务公开办公室关于印发&lt;中华人民共和国政府信息公开工作年度报告格式&gt;的通知》（国办公开办函〔2021〕30号）要求，现发布《重庆市綦江区农业农村委员会2025年政府信息公开工作年度报告》。本报告所列数据统计时限自2025年1月1日至2025年12月31日。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/>
          <w:i w:val="0"/>
          <w:caps w:val="0"/>
          <w:color w:val="0F1115"/>
          <w:spacing w:val="0"/>
          <w:sz w:val="32"/>
          <w:szCs w:val="32"/>
        </w:rPr>
      </w:pPr>
      <w:r>
        <w:rPr>
          <w:rStyle w:val="8"/>
          <w:rFonts w:hint="default" w:ascii="Times New Roman" w:hAnsi="Times New Roman" w:eastAsia="方正黑体_GBK" w:cs="Times New Roman"/>
          <w:b w:val="0"/>
          <w:bCs/>
          <w:i w:val="0"/>
          <w:caps w:val="0"/>
          <w:color w:val="0F1115"/>
          <w:spacing w:val="0"/>
          <w:sz w:val="32"/>
          <w:szCs w:val="32"/>
          <w:shd w:val="clear" w:fill="FFFFFF"/>
        </w:rPr>
        <w:t>一、总体情况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2" w:firstLineChars="200"/>
        <w:jc w:val="both"/>
        <w:textAlignment w:val="auto"/>
        <w:outlineLvl w:val="9"/>
        <w:rPr>
          <w:rStyle w:val="8"/>
          <w:rFonts w:hint="default" w:ascii="Times New Roman" w:hAnsi="Times New Roman" w:eastAsia="方正仿宋_GBK" w:cs="Times New Roman"/>
          <w:b/>
          <w:i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Style w:val="8"/>
          <w:rFonts w:hint="default" w:ascii="Times New Roman" w:hAnsi="Times New Roman" w:eastAsia="方正仿宋_GBK" w:cs="Times New Roman"/>
          <w:b/>
          <w:i w:val="0"/>
          <w:caps w:val="0"/>
          <w:color w:val="0F1115"/>
          <w:spacing w:val="0"/>
          <w:sz w:val="32"/>
          <w:szCs w:val="32"/>
          <w:shd w:val="clear" w:fill="FFFFFF"/>
        </w:rPr>
        <w:t>（一）主动公开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我委以区政府门户网站“綦江区农业农村委员会”子网为核心公开平台，同步利用政务新媒体等渠道，依法、及时、准确公开各类政府信息。全年通过区政府网站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和政务新媒体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主动公开政府信息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297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条。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其中：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乡村振兴/工作情况57条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包含各类项目公示、补贴兑现、名单公告、工作成果展示、通知复函等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行政许可/办理结果20条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包含行政许可办理情况统计及定期公示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行政执法公示/农业综合执法公示18条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包含行政处罚案件公示、执法事项清单、执法情况统计等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预算决算公开17条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包含2025年部门预算及2024年度决算公开说明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涉农补贴/惠民惠农资金15条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包含耕地地力保护补贴、雨露计划、各类养殖补助等补贴的申报指南、发放公示与结果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本机关政策文件14条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包含方案、通知、实施办法等规范性及非规范性文件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公告公示9条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，包含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招投标、项目、名单等各类公告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工作动态/工作成果图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109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条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，包含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转载或原创的新闻报道、信息动态及图片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衔接资金及项目7条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包含资金计划、项目库、年度完成情况等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议案提案办理6条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权责清单/行政权力事项3条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，包含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权力事项、公共服务事项清单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其他约22条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含监督渠道、申报指南更新、机构简介、专项工作等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优化政策发布解读，采用图文、问答等多种形式对重要涉农政策进行解读，提升政策知晓率和到达率。及时公开人大代表建议和政协委员提案办理结果。严格按照法定时限更新发布各类信息，确保主动公开内容的时效性和完整性。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2" w:firstLineChars="200"/>
        <w:jc w:val="both"/>
        <w:textAlignment w:val="auto"/>
        <w:outlineLvl w:val="9"/>
        <w:rPr>
          <w:rStyle w:val="8"/>
          <w:rFonts w:hint="default" w:ascii="Times New Roman" w:hAnsi="Times New Roman" w:eastAsia="方正仿宋_GBK" w:cs="Times New Roman"/>
          <w:b/>
          <w:i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Style w:val="8"/>
          <w:rFonts w:hint="default" w:ascii="Times New Roman" w:hAnsi="Times New Roman" w:eastAsia="方正仿宋_GBK" w:cs="Times New Roman"/>
          <w:b/>
          <w:i w:val="0"/>
          <w:caps w:val="0"/>
          <w:color w:val="0F1115"/>
          <w:spacing w:val="0"/>
          <w:sz w:val="32"/>
          <w:szCs w:val="32"/>
          <w:shd w:val="clear" w:fill="FFFFFF"/>
        </w:rPr>
        <w:t>（二）依申请公开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0" w:firstLineChars="200"/>
        <w:textAlignment w:val="auto"/>
        <w:outlineLvl w:val="0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年区农业农村委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未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收到政府信息公开申请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2" w:firstLineChars="200"/>
        <w:jc w:val="both"/>
        <w:textAlignment w:val="auto"/>
        <w:outlineLvl w:val="9"/>
        <w:rPr>
          <w:rStyle w:val="8"/>
          <w:rFonts w:hint="default" w:ascii="Times New Roman" w:hAnsi="Times New Roman" w:eastAsia="方正仿宋_GBK" w:cs="Times New Roman"/>
          <w:b/>
          <w:i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Style w:val="8"/>
          <w:rFonts w:hint="default" w:ascii="Times New Roman" w:hAnsi="Times New Roman" w:eastAsia="方正仿宋_GBK" w:cs="Times New Roman"/>
          <w:b/>
          <w:i w:val="0"/>
          <w:caps w:val="0"/>
          <w:color w:val="0F1115"/>
          <w:spacing w:val="0"/>
          <w:sz w:val="32"/>
          <w:szCs w:val="32"/>
          <w:shd w:val="clear" w:fill="FFFFFF"/>
        </w:rPr>
        <w:t>（三）政府信息管理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区农业农村委按要求建立健全信息公开工作制度，完善信息公开指南，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重点围绕履职依据、机构职能、财政预决算、重大行政决策、规划计划、行政许可、行政处罚、涉农补贴、乡村振兴、项目建设、工作动态等领域，持续加大主动公开力度。严格落实“三审三校”制度，确保上网信息内容准确、表述规范。持续加强行政规范性文件管理，按要求进行动态清理，及时公开现行有效文件目录及文本。建立健全政府信息公开台账，对公开信息进行分类登记和动态管理。定期对已公开信息进行核查更新，确保信息的有效性、准确性。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2" w:firstLineChars="200"/>
        <w:jc w:val="both"/>
        <w:textAlignment w:val="auto"/>
        <w:outlineLvl w:val="9"/>
        <w:rPr>
          <w:rStyle w:val="8"/>
          <w:rFonts w:hint="default" w:ascii="Times New Roman" w:hAnsi="Times New Roman" w:eastAsia="方正仿宋_GBK" w:cs="Times New Roman"/>
          <w:b/>
          <w:i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Style w:val="8"/>
          <w:rFonts w:hint="default" w:ascii="Times New Roman" w:hAnsi="Times New Roman" w:eastAsia="方正仿宋_GBK" w:cs="Times New Roman"/>
          <w:b/>
          <w:i w:val="0"/>
          <w:caps w:val="0"/>
          <w:color w:val="0F1115"/>
          <w:spacing w:val="0"/>
          <w:sz w:val="32"/>
          <w:szCs w:val="32"/>
          <w:shd w:val="clear" w:fill="FFFFFF"/>
        </w:rPr>
        <w:t>（四）政府信息公开平台建设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持续优化区政府网站农业农村委子网栏目设置和功能，根据年度重点工作和社会关切，适时调整完善公开专栏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，申请注销“治违禁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 xml:space="preserve"> 控药残 促提示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”等栏目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4个。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加强网站日常巡检和内容维护，确保链接可用、栏目更新及时。推动政务公开与政务服务深度融合，在相关栏目提供便捷的办事指引和服务接口。探索运用新技术提升平台智能化、便捷化水平，改善用户体验。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2" w:firstLineChars="200"/>
        <w:jc w:val="both"/>
        <w:textAlignment w:val="auto"/>
        <w:outlineLvl w:val="9"/>
        <w:rPr>
          <w:rStyle w:val="8"/>
          <w:rFonts w:hint="default" w:ascii="Times New Roman" w:hAnsi="Times New Roman" w:eastAsia="方正仿宋_GBK" w:cs="Times New Roman"/>
          <w:b/>
          <w:i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Style w:val="8"/>
          <w:rFonts w:hint="default" w:ascii="Times New Roman" w:hAnsi="Times New Roman" w:eastAsia="方正仿宋_GBK" w:cs="Times New Roman"/>
          <w:b/>
          <w:i w:val="0"/>
          <w:caps w:val="0"/>
          <w:color w:val="0F1115"/>
          <w:spacing w:val="0"/>
          <w:sz w:val="32"/>
          <w:szCs w:val="32"/>
          <w:shd w:val="clear" w:fill="FFFFFF"/>
        </w:rPr>
        <w:t>（五）监督保障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将政府信息公开工作纳入委内年度工作要点和考核范围，强化各科室（站）信息公开责任。由分管领导定期调度，办公室牵头协调，形成齐抓共管的工作格局。组织参加区级和本委举办的政务公开业务培训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次，提升工作人员专业能力和水平。修订完善《綦江区农业农村委员会政府信息公开指南（2025年版）》及相关工作制度。自觉接受社会评议和监督，对外公开投诉举报渠道，对发现的问题及时整改。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Style w:val="8"/>
          <w:rFonts w:hint="default" w:ascii="Times New Roman" w:hAnsi="Times New Roman" w:eastAsia="方正黑体_GBK" w:cs="Times New Roman"/>
          <w:b w:val="0"/>
          <w:bCs/>
          <w:i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Style w:val="8"/>
          <w:rFonts w:hint="default" w:ascii="Times New Roman" w:hAnsi="Times New Roman" w:eastAsia="方正黑体_GBK" w:cs="Times New Roman"/>
          <w:b w:val="0"/>
          <w:bCs/>
          <w:i w:val="0"/>
          <w:caps w:val="0"/>
          <w:color w:val="0F1115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6"/>
        <w:tblW w:w="889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09"/>
        <w:gridCol w:w="1842"/>
        <w:gridCol w:w="2552"/>
        <w:gridCol w:w="198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8892" w:type="dxa"/>
            <w:gridSpan w:val="4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第二十条第（一）项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2509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184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本年制发件数</w:t>
            </w:r>
          </w:p>
        </w:tc>
        <w:tc>
          <w:tcPr>
            <w:tcW w:w="255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本年废止件数</w:t>
            </w:r>
          </w:p>
        </w:tc>
        <w:tc>
          <w:tcPr>
            <w:tcW w:w="1989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现行有效件数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2509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规章</w:t>
            </w:r>
          </w:p>
        </w:tc>
        <w:tc>
          <w:tcPr>
            <w:tcW w:w="184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55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989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2509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行政规范性文件</w:t>
            </w:r>
          </w:p>
        </w:tc>
        <w:tc>
          <w:tcPr>
            <w:tcW w:w="184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5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989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92" w:type="dxa"/>
            <w:gridSpan w:val="4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第二十条第（五）项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509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6383" w:type="dxa"/>
            <w:gridSpan w:val="3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本年处理决定数量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509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行政许可</w:t>
            </w:r>
          </w:p>
        </w:tc>
        <w:tc>
          <w:tcPr>
            <w:tcW w:w="6383" w:type="dxa"/>
            <w:gridSpan w:val="3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92" w:type="dxa"/>
            <w:gridSpan w:val="4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第二十条第（六）项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509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6383" w:type="dxa"/>
            <w:gridSpan w:val="3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本年处理决定数量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509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行政处罚</w:t>
            </w:r>
          </w:p>
        </w:tc>
        <w:tc>
          <w:tcPr>
            <w:tcW w:w="6383" w:type="dxa"/>
            <w:gridSpan w:val="3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509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行政强制</w:t>
            </w:r>
          </w:p>
        </w:tc>
        <w:tc>
          <w:tcPr>
            <w:tcW w:w="6383" w:type="dxa"/>
            <w:gridSpan w:val="3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92" w:type="dxa"/>
            <w:gridSpan w:val="4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第二十条第（八）项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509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6383" w:type="dxa"/>
            <w:gridSpan w:val="3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本年收费金额（单位：万元）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509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行政事业性收费</w:t>
            </w:r>
          </w:p>
        </w:tc>
        <w:tc>
          <w:tcPr>
            <w:tcW w:w="6383" w:type="dxa"/>
            <w:gridSpan w:val="3"/>
            <w:tcMar>
              <w:left w:w="17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Style w:val="8"/>
          <w:rFonts w:hint="default" w:ascii="Times New Roman" w:hAnsi="Times New Roman" w:eastAsia="方正黑体_GBK" w:cs="Times New Roman"/>
          <w:b w:val="0"/>
          <w:bCs/>
          <w:i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Style w:val="8"/>
          <w:rFonts w:hint="default" w:ascii="Times New Roman" w:hAnsi="Times New Roman" w:eastAsia="方正黑体_GBK" w:cs="Times New Roman"/>
          <w:b w:val="0"/>
          <w:bCs/>
          <w:i w:val="0"/>
          <w:caps w:val="0"/>
          <w:color w:val="0F1115"/>
          <w:spacing w:val="0"/>
          <w:sz w:val="32"/>
          <w:szCs w:val="32"/>
          <w:shd w:val="clear" w:fill="FFFFFF"/>
        </w:rPr>
        <w:t>三、收到和处理政府信息公开申请情况</w:t>
      </w:r>
    </w:p>
    <w:tbl>
      <w:tblPr>
        <w:tblStyle w:val="6"/>
        <w:tblW w:w="89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7"/>
        <w:gridCol w:w="861"/>
        <w:gridCol w:w="7"/>
        <w:gridCol w:w="3010"/>
        <w:gridCol w:w="625"/>
        <w:gridCol w:w="602"/>
        <w:gridCol w:w="588"/>
        <w:gridCol w:w="755"/>
        <w:gridCol w:w="756"/>
        <w:gridCol w:w="560"/>
        <w:gridCol w:w="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tblHeader/>
        </w:trPr>
        <w:tc>
          <w:tcPr>
            <w:tcW w:w="4385" w:type="dxa"/>
            <w:gridSpan w:val="4"/>
            <w:vMerge w:val="restart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pacing w:val="-4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pacing w:val="-4"/>
                <w:sz w:val="20"/>
                <w14:textFill>
                  <w14:solidFill>
                    <w14:schemeClr w14:val="tx1"/>
                  </w14:solidFill>
                </w14:textFill>
              </w:rPr>
              <w:t>（本列数据的勾稽关系为：第一项加第二项之和，等于第三项加第四项之和）</w:t>
            </w:r>
          </w:p>
        </w:tc>
        <w:tc>
          <w:tcPr>
            <w:tcW w:w="4516" w:type="dxa"/>
            <w:gridSpan w:val="7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tblHeader/>
        </w:trPr>
        <w:tc>
          <w:tcPr>
            <w:tcW w:w="4385" w:type="dxa"/>
            <w:gridSpan w:val="4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5" w:type="dxa"/>
            <w:vMerge w:val="restart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自然人</w:t>
            </w:r>
          </w:p>
        </w:tc>
        <w:tc>
          <w:tcPr>
            <w:tcW w:w="3261" w:type="dxa"/>
            <w:gridSpan w:val="5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法人或其他组织</w:t>
            </w:r>
          </w:p>
        </w:tc>
        <w:tc>
          <w:tcPr>
            <w:tcW w:w="630" w:type="dxa"/>
            <w:vMerge w:val="restart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Header/>
        </w:trPr>
        <w:tc>
          <w:tcPr>
            <w:tcW w:w="4385" w:type="dxa"/>
            <w:gridSpan w:val="4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5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商业企业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科研机构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社会公益组织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法律服务机构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630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385" w:type="dxa"/>
            <w:gridSpan w:val="4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一、本年新收政府信息公开申请数量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385" w:type="dxa"/>
            <w:gridSpan w:val="4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二、上年结转政府信息公开申请数量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07" w:type="dxa"/>
            <w:vMerge w:val="restart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三、本年度办理结果</w:t>
            </w:r>
          </w:p>
        </w:tc>
        <w:tc>
          <w:tcPr>
            <w:tcW w:w="3878" w:type="dxa"/>
            <w:gridSpan w:val="3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（一）予以公开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78" w:type="dxa"/>
            <w:gridSpan w:val="3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（二）部分公开（</w:t>
            </w:r>
            <w:r>
              <w:rPr>
                <w:rFonts w:hint="default" w:ascii="Times New Roman" w:hAnsi="Times New Roman" w:eastAsia="方正楷体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区分处理的，只计这一情形，不计其他情形</w:t>
            </w: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restart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（三）不予公开</w:t>
            </w: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1.属于国家秘密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pacing w:val="-6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pacing w:val="-6"/>
                <w:sz w:val="20"/>
                <w14:textFill>
                  <w14:solidFill>
                    <w14:schemeClr w14:val="tx1"/>
                  </w14:solidFill>
                </w14:textFill>
              </w:rPr>
              <w:t>2.其他法律行政法规禁止公开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eastAsia" w:ascii="Times New Roman" w:hAnsi="Times New Roman" w:eastAsia="方正书宋_GBK" w:cs="Times New Roman"/>
                <w:color w:val="000000" w:themeColor="text1"/>
                <w:sz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3.危及</w:t>
            </w:r>
            <w:r>
              <w:rPr>
                <w:rFonts w:hint="eastAsia" w:eastAsia="方正书宋_GBK" w:cs="Times New Roman"/>
                <w:color w:val="000000" w:themeColor="text1"/>
                <w:sz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三安全一稳定</w:t>
            </w:r>
            <w:r>
              <w:rPr>
                <w:rFonts w:hint="eastAsia" w:eastAsia="方正书宋_GBK" w:cs="Times New Roman"/>
                <w:color w:val="000000" w:themeColor="text1"/>
                <w:sz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4.保护第三方合法权益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5.属于三类内部事务信息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6.属于四类过程性信息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7.属于行政执法案卷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8.属于行政查询事项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restart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（四）无法提供</w:t>
            </w: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pacing w:val="-4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pacing w:val="-4"/>
                <w:sz w:val="20"/>
                <w14:textFill>
                  <w14:solidFill>
                    <w14:schemeClr w14:val="tx1"/>
                  </w14:solidFill>
                </w14:textFill>
              </w:rPr>
              <w:t>1.本机关不掌握相关政府信息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pacing w:val="-4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pacing w:val="-4"/>
                <w:sz w:val="20"/>
                <w14:textFill>
                  <w14:solidFill>
                    <w14:schemeClr w14:val="tx1"/>
                  </w14:solidFill>
                </w14:textFill>
              </w:rPr>
              <w:t>2.没有现成信息需要另行制作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3.补正后申请内容仍不明确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restart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（五）不予处理</w:t>
            </w: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1.信访举报投诉类申请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2.重复申请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3.要求提供公开出版物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4.无正当理由大量反复申请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1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7" w:type="dxa"/>
            <w:gridSpan w:val="2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5.要求行政机关确认或重新出具已获取信息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8" w:type="dxa"/>
            <w:gridSpan w:val="2"/>
            <w:vMerge w:val="restart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:lang w:bidi="ar"/>
                <w14:textFill>
                  <w14:solidFill>
                    <w14:schemeClr w14:val="tx1"/>
                  </w14:solidFill>
                </w14:textFill>
              </w:rPr>
              <w:t>（六）其他处理</w:t>
            </w:r>
          </w:p>
        </w:tc>
        <w:tc>
          <w:tcPr>
            <w:tcW w:w="301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:lang w:bidi="ar"/>
                <w14:textFill>
                  <w14:solidFill>
                    <w14:schemeClr w14:val="tx1"/>
                  </w14:solidFill>
                </w14:textFill>
              </w:rPr>
              <w:t>1.申请人无正当理由逾期不补正、行政机关不再处理其政府信息公开申请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8" w:type="dxa"/>
            <w:gridSpan w:val="2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:lang w:bidi="ar"/>
                <w14:textFill>
                  <w14:solidFill>
                    <w14:schemeClr w14:val="tx1"/>
                  </w14:solidFill>
                </w14:textFill>
              </w:rPr>
              <w:t>2.申请人逾期未按收费通知要求缴纳费用、行政机关不再处理其政府信息公开申请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8" w:type="dxa"/>
            <w:gridSpan w:val="2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:lang w:bidi="ar"/>
                <w14:textFill>
                  <w14:solidFill>
                    <w14:schemeClr w14:val="tx1"/>
                  </w14:solidFill>
                </w14:textFill>
              </w:rPr>
              <w:t>3.其他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507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78" w:type="dxa"/>
            <w:gridSpan w:val="3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（七）总计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4385" w:type="dxa"/>
            <w:gridSpan w:val="4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书宋_GBK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四、结转下年度继续办理</w:t>
            </w:r>
          </w:p>
        </w:tc>
        <w:tc>
          <w:tcPr>
            <w:tcW w:w="62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2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5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6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0" w:type="dxa"/>
            <w:tcMar>
              <w:left w:w="17" w:type="dxa"/>
              <w:right w:w="17" w:type="dxa"/>
            </w:tcMar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/>
        <w:jc w:val="both"/>
        <w:textAlignment w:val="auto"/>
        <w:outlineLvl w:val="9"/>
        <w:rPr>
          <w:rStyle w:val="8"/>
          <w:rFonts w:hint="default" w:ascii="Times New Roman" w:hAnsi="Times New Roman" w:eastAsia="方正黑体_GBK" w:cs="Times New Roman"/>
          <w:b w:val="0"/>
          <w:bCs/>
          <w:i w:val="0"/>
          <w:caps w:val="0"/>
          <w:color w:val="0F1115"/>
          <w:spacing w:val="0"/>
          <w:sz w:val="32"/>
          <w:szCs w:val="32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Style w:val="8"/>
          <w:rFonts w:hint="default" w:ascii="Times New Roman" w:hAnsi="Times New Roman" w:eastAsia="方正黑体_GBK" w:cs="Times New Roman"/>
          <w:b w:val="0"/>
          <w:bCs/>
          <w:i w:val="0"/>
          <w:caps w:val="0"/>
          <w:color w:val="0F1115"/>
          <w:spacing w:val="0"/>
          <w:sz w:val="32"/>
          <w:szCs w:val="32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Style w:val="8"/>
          <w:rFonts w:hint="default" w:ascii="Times New Roman" w:hAnsi="Times New Roman" w:eastAsia="方正黑体_GBK" w:cs="Times New Roman"/>
          <w:b w:val="0"/>
          <w:bCs/>
          <w:i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Style w:val="8"/>
          <w:rFonts w:hint="default" w:ascii="Times New Roman" w:hAnsi="Times New Roman" w:eastAsia="方正黑体_GBK" w:cs="Times New Roman"/>
          <w:b w:val="0"/>
          <w:bCs/>
          <w:i w:val="0"/>
          <w:caps w:val="0"/>
          <w:color w:val="0F1115"/>
          <w:spacing w:val="0"/>
          <w:sz w:val="32"/>
          <w:szCs w:val="32"/>
          <w:shd w:val="clear" w:fill="FFFFFF"/>
        </w:rPr>
        <w:t>四、政府信息公开行政复议、行政诉讼情况</w:t>
      </w:r>
    </w:p>
    <w:tbl>
      <w:tblPr>
        <w:tblStyle w:val="6"/>
        <w:tblW w:w="890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518"/>
        <w:gridCol w:w="546"/>
        <w:gridCol w:w="518"/>
        <w:gridCol w:w="574"/>
        <w:gridCol w:w="550"/>
        <w:gridCol w:w="605"/>
        <w:gridCol w:w="605"/>
        <w:gridCol w:w="605"/>
        <w:gridCol w:w="491"/>
        <w:gridCol w:w="605"/>
        <w:gridCol w:w="605"/>
        <w:gridCol w:w="605"/>
        <w:gridCol w:w="606"/>
        <w:gridCol w:w="91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2716" w:type="dxa"/>
            <w:gridSpan w:val="5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行政复议</w:t>
            </w:r>
          </w:p>
        </w:tc>
        <w:tc>
          <w:tcPr>
            <w:tcW w:w="6187" w:type="dxa"/>
            <w:gridSpan w:val="10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    政    诉    讼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60" w:type="dxa"/>
            <w:vMerge w:val="restart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518" w:type="dxa"/>
            <w:vMerge w:val="restart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546" w:type="dxa"/>
            <w:vMerge w:val="restart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518" w:type="dxa"/>
            <w:vMerge w:val="restart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574" w:type="dxa"/>
            <w:vMerge w:val="restart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2856" w:type="dxa"/>
            <w:gridSpan w:val="5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未经复议直接起诉</w:t>
            </w:r>
          </w:p>
        </w:tc>
        <w:tc>
          <w:tcPr>
            <w:tcW w:w="3331" w:type="dxa"/>
            <w:gridSpan w:val="5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复议后起诉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60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8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6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8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4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0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605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605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605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491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605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605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605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606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910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60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18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6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18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74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50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91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5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06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0" w:type="dxa"/>
            <w:tcMar>
              <w:left w:w="17" w:type="dxa"/>
              <w:right w:w="17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书宋_GBK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Style w:val="8"/>
          <w:rFonts w:hint="default" w:ascii="Times New Roman" w:hAnsi="Times New Roman" w:eastAsia="方正黑体_GBK" w:cs="Times New Roman"/>
          <w:b w:val="0"/>
          <w:bCs/>
          <w:i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Style w:val="8"/>
          <w:rFonts w:hint="default" w:ascii="Times New Roman" w:hAnsi="Times New Roman" w:eastAsia="方正黑体_GBK" w:cs="Times New Roman"/>
          <w:b w:val="0"/>
          <w:bCs/>
          <w:i w:val="0"/>
          <w:caps w:val="0"/>
          <w:color w:val="0F1115"/>
          <w:spacing w:val="0"/>
          <w:sz w:val="32"/>
          <w:szCs w:val="32"/>
          <w:shd w:val="clear" w:fill="FFFFFF"/>
        </w:rPr>
        <w:t>五、存在的主要问题及改进情况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2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/>
          <w:bCs/>
          <w:i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（一）</w:t>
      </w:r>
      <w:r>
        <w:rPr>
          <w:rFonts w:hint="default" w:ascii="Times New Roman" w:hAnsi="Times New Roman" w:eastAsia="方正仿宋_GBK" w:cs="Times New Roman"/>
          <w:b/>
          <w:bCs/>
          <w:i w:val="0"/>
          <w:caps w:val="0"/>
          <w:color w:val="0F1115"/>
          <w:spacing w:val="0"/>
          <w:sz w:val="32"/>
          <w:szCs w:val="32"/>
          <w:shd w:val="clear" w:fill="FFFFFF"/>
        </w:rPr>
        <w:t>存在的主要问题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人员衔接与队伍稳定性有待加强。因科室人员岗位调整较为频繁</w:t>
      </w: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且为兼职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，新接手人员对政务公开规范流程与操作要求需一定适应期，工作延续性受到影响，偶有信息发布迟滞。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政策解读深度与形式创新不足。重要政策文件的解读仍以原文或简要说明为主，形式较为单一，运用图文、短视频等生动方式不足，政策透明度和传播效果有待提升。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2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/>
          <w:bCs/>
          <w:i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（二）</w:t>
      </w:r>
      <w:r>
        <w:rPr>
          <w:rFonts w:hint="default" w:ascii="Times New Roman" w:hAnsi="Times New Roman" w:eastAsia="方正仿宋_GBK" w:cs="Times New Roman"/>
          <w:b/>
          <w:bCs/>
          <w:i w:val="0"/>
          <w:caps w:val="0"/>
          <w:color w:val="0F1115"/>
          <w:spacing w:val="0"/>
          <w:sz w:val="32"/>
          <w:szCs w:val="32"/>
          <w:shd w:val="clear" w:fill="FFFFFF"/>
        </w:rPr>
        <w:t>改进情况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优化人员衔接与培训机制。完善工作交接清单，加强“传帮带”，并组织开展专题业务培训，缩短新上岗人员适应周期，保障公开工作连续稳定。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Style w:val="8"/>
          <w:rFonts w:hint="default" w:ascii="Times New Roman" w:hAnsi="Times New Roman" w:eastAsia="方正仿宋_GBK" w:cs="Times New Roman"/>
          <w:b/>
          <w:i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推动解读方式多样化。明确要求重要政策同步制作解读材料，鼓励采用图文、问答、动画等形式，提高政策可读性与知晓率。年内已对多项政策开展多样化解读尝试。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Style w:val="8"/>
          <w:rFonts w:hint="default" w:ascii="Times New Roman" w:hAnsi="Times New Roman" w:eastAsia="方正黑体_GBK" w:cs="Times New Roman"/>
          <w:b w:val="0"/>
          <w:bCs/>
          <w:i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Style w:val="8"/>
          <w:rFonts w:hint="default" w:ascii="Times New Roman" w:hAnsi="Times New Roman" w:eastAsia="方正黑体_GBK" w:cs="Times New Roman"/>
          <w:b w:val="0"/>
          <w:bCs/>
          <w:i w:val="0"/>
          <w:caps w:val="0"/>
          <w:color w:val="0F1115"/>
          <w:spacing w:val="0"/>
          <w:sz w:val="32"/>
          <w:szCs w:val="32"/>
          <w:shd w:val="clear" w:fill="FFFFFF"/>
        </w:rPr>
        <w:t>六、其他需要报告的事项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  <w:t>本年度，我委在开展政府信息公开工作中，未向申请人收取信息处理费。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right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方正仿宋_GBK" w:cs="Times New Roman"/>
          <w:i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53C37"/>
    <w:rsid w:val="01FD58CF"/>
    <w:rsid w:val="047A09DF"/>
    <w:rsid w:val="0F2B60C2"/>
    <w:rsid w:val="0F7718EE"/>
    <w:rsid w:val="14E70D5B"/>
    <w:rsid w:val="15E31EF8"/>
    <w:rsid w:val="306F78B6"/>
    <w:rsid w:val="34630E03"/>
    <w:rsid w:val="49FB376E"/>
    <w:rsid w:val="4B153C37"/>
    <w:rsid w:val="50D36CAA"/>
    <w:rsid w:val="54A30BE9"/>
    <w:rsid w:val="5C990CF9"/>
    <w:rsid w:val="74F50D90"/>
    <w:rsid w:val="7EEF12FE"/>
    <w:rsid w:val="7EF533D8"/>
    <w:rsid w:val="7F3A0649"/>
    <w:rsid w:val="7FDDE904"/>
    <w:rsid w:val="DFF6BAC6"/>
    <w:rsid w:val="F7F61496"/>
    <w:rsid w:val="FDBF8807"/>
    <w:rsid w:val="FDFC4EF5"/>
    <w:rsid w:val="FFB2E155"/>
    <w:rsid w:val="FFD92F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</w:rPr>
  </w:style>
  <w:style w:type="paragraph" w:styleId="2">
    <w:name w:val="heading 3"/>
    <w:basedOn w:val="1"/>
    <w:next w:val="1"/>
    <w:link w:val="9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标题 3 字符"/>
    <w:link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2676</Words>
  <Characters>2747</Characters>
  <Lines>0</Lines>
  <Paragraphs>0</Paragraphs>
  <TotalTime>50</TotalTime>
  <ScaleCrop>false</ScaleCrop>
  <LinksUpToDate>false</LinksUpToDate>
  <CharactersWithSpaces>2764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2026-01-17T23:00:00Z</dcterms:created>
  <dc:creator>Administrator</dc:creator>
  <cp:lastModifiedBy>user</cp:lastModifiedBy>
  <dcterms:modified xsi:type="dcterms:W3CDTF">2026-01-23T15:30:07Z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KSOTemplateDocerSaveRecord">
    <vt:lpwstr>eyJoZGlkIjoiZWFiMjUwYzZjNGNhMTBkZWZjNWFmMWRkMjMwNTc0YjUiLCJ1c2VySWQiOiIzOTM1NDA3MTAifQ==</vt:lpwstr>
  </property>
  <property fmtid="{D5CDD505-2E9C-101B-9397-08002B2CF9AE}" pid="4" name="ICV">
    <vt:lpwstr>1E654C99DFC54A51A85F89381EC36609_13</vt:lpwstr>
  </property>
</Properties>
</file>